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4C" w:rsidRDefault="00D950C3">
      <w:pPr>
        <w:spacing w:after="220"/>
        <w:ind w:left="1248" w:right="14" w:hanging="10"/>
      </w:pPr>
      <w:r>
        <w:rPr>
          <w:sz w:val="30"/>
        </w:rPr>
        <w:t xml:space="preserve">О ходе реализации краткосрочного плана капитального ремонта общего имущества в многоквартирных </w:t>
      </w:r>
      <w:r w:rsidR="0011248E">
        <w:rPr>
          <w:sz w:val="30"/>
        </w:rPr>
        <w:t>д</w:t>
      </w:r>
      <w:r>
        <w:rPr>
          <w:sz w:val="30"/>
        </w:rPr>
        <w:t>омах, расположенных на территории Чувашской Республики, на 20</w:t>
      </w:r>
      <w:r w:rsidR="0011248E">
        <w:rPr>
          <w:sz w:val="30"/>
        </w:rPr>
        <w:t>1</w:t>
      </w:r>
      <w:r>
        <w:rPr>
          <w:sz w:val="30"/>
        </w:rPr>
        <w:t>8-2020 годы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75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4C" w:rsidRDefault="00D950C3">
      <w:pPr>
        <w:ind w:right="5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77" name="Picture 1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Picture 18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48E">
        <w:t>С</w:t>
      </w:r>
      <w:r>
        <w:t xml:space="preserve"> 2018 года в первые, после реали</w:t>
      </w:r>
      <w:r>
        <w:t xml:space="preserve">зации 4-х ежегодно утверждаемых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76" name="Picture 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Picture 18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краткосрочных планов, перешли на 3-х летний краткосрочный план реализации в 2018—2020 годах Республиканской программы капитального ремонта общего имущества в многоквартирных домах, расположенных на территории Чувашской Респ</w:t>
      </w:r>
      <w:r>
        <w:t>ублики, на 2014—2043 годы, утвержденный постановлением К</w:t>
      </w:r>
      <w:r w:rsidR="0011248E">
        <w:t xml:space="preserve">абинета Министров </w:t>
      </w:r>
      <w:r>
        <w:t>Ч</w:t>
      </w:r>
      <w:r w:rsidR="0011248E">
        <w:t xml:space="preserve">увашской </w:t>
      </w:r>
      <w:r>
        <w:t>Р</w:t>
      </w:r>
      <w:r w:rsidR="0011248E">
        <w:t>еспублики</w:t>
      </w:r>
      <w:r>
        <w:t xml:space="preserve"> от 25. 10.2017 Г. N</w:t>
      </w:r>
      <w:r w:rsidR="0011248E">
        <w:t xml:space="preserve"> </w:t>
      </w:r>
      <w:r>
        <w:t>429.</w:t>
      </w:r>
    </w:p>
    <w:p w:rsidR="0043634C" w:rsidRDefault="00D950C3">
      <w:pPr>
        <w:ind w:left="35" w:right="50"/>
      </w:pPr>
      <w:r>
        <w:t xml:space="preserve">Первоначально по плану в 2018 году подлежали капитальному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78" name="Picture 1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Picture 18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ремонту 252 МКД по исполнению 532 видов работ на сумму 813,5 млн. рублей. По исполнению предыдущего кр</w:t>
      </w:r>
      <w:r>
        <w:t xml:space="preserve">аткосрочного плана капитального ремонта общего имущества МКД 2017-2018 гг., </w:t>
      </w:r>
      <w:r>
        <w:rPr>
          <w:u w:val="single" w:color="000000"/>
        </w:rPr>
        <w:t>на высвободившиеся средства и полученную экономию</w:t>
      </w:r>
      <w:r>
        <w:t xml:space="preserve"> в июле дополнительно включили в план капитального ремонта 2018 года 93 МКД на сумму 231,7 млн. рублей по исполнению 139 видов рабо</w:t>
      </w:r>
      <w:r>
        <w:t xml:space="preserve">т (исключили 17 </w:t>
      </w:r>
      <w:r w:rsidR="0011248E">
        <w:t>МКД</w:t>
      </w:r>
      <w:r>
        <w:t>).</w:t>
      </w:r>
    </w:p>
    <w:p w:rsidR="0043634C" w:rsidRDefault="00D950C3">
      <w:pPr>
        <w:spacing w:after="49"/>
        <w:ind w:left="35" w:right="50"/>
      </w:pPr>
      <w:r>
        <w:t xml:space="preserve">Работы по основному списку в основном завершены до 1 октября 2018 года, а по капитальному ремонту общего имущества многоквартирных домов из дополнительного списка завершились к середине января текущего года, за исключением 6 объектов </w:t>
      </w:r>
      <w:r>
        <w:t>культурного наследия и 1 объекта по ремонту мягкой кровли из дополнительного списка.</w:t>
      </w:r>
    </w:p>
    <w:p w:rsidR="0043634C" w:rsidRDefault="00D950C3">
      <w:pPr>
        <w:ind w:left="35" w:right="50"/>
      </w:pPr>
      <w:r>
        <w:t xml:space="preserve">И так, согласно уточненному краткосрочному плану капитального ремонта общего имущества МКД в 2018 году выборочным капитальным ремонтом охватили 321 МКД по 626 видам работ </w:t>
      </w:r>
      <w:r>
        <w:t>на сумму 791 млн. рублей, из которых заказчиком работ выступил Фонд капитального ремонта по 310 МКД, где проживает 16</w:t>
      </w:r>
      <w:r w:rsidR="00DD594F">
        <w:t xml:space="preserve"> </w:t>
      </w:r>
      <w:r>
        <w:t xml:space="preserve">180 семей или 32 </w:t>
      </w:r>
      <w:r w:rsidR="0011248E">
        <w:t>00</w:t>
      </w:r>
      <w:r>
        <w:t>4 граждан.</w:t>
      </w:r>
    </w:p>
    <w:p w:rsidR="0043634C" w:rsidRDefault="00D950C3">
      <w:pPr>
        <w:ind w:left="35" w:right="50" w:firstLine="763"/>
      </w:pPr>
      <w:r>
        <w:t>Помимо домов, формирующих фонд капитального ремонта на счете регионального оператора, выполнялся капи</w:t>
      </w:r>
      <w:r>
        <w:t xml:space="preserve">тальный ремонт общего имущества еще 11 МКД (12 видам работ), формирующих фонд капитального ремонта на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80" name="Picture 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Picture 18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специальных счетах на сумму 20</w:t>
      </w:r>
      <w:r w:rsidR="00DD594F">
        <w:t xml:space="preserve"> </w:t>
      </w:r>
      <w:r>
        <w:t xml:space="preserve">207 </w:t>
      </w:r>
      <w:proofErr w:type="spellStart"/>
      <w:r>
        <w:t>тыс.руб</w:t>
      </w:r>
      <w:proofErr w:type="spellEnd"/>
      <w:r>
        <w:t xml:space="preserve">., из которых - 5 МКД, владельцем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79" name="Picture 1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" name="Picture 18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счетов которых является РО и 6 - где владельцем счетов выступают УК и ТС</w:t>
      </w:r>
      <w:r>
        <w:t>Ж.</w:t>
      </w:r>
    </w:p>
    <w:p w:rsidR="0043634C" w:rsidRDefault="00D950C3">
      <w:pPr>
        <w:ind w:left="35" w:right="50" w:firstLine="785"/>
      </w:pPr>
      <w:r>
        <w:t xml:space="preserve">За 2018 год на электронной площадке «РТС — </w:t>
      </w:r>
      <w:proofErr w:type="spellStart"/>
      <w:r>
        <w:t>Тендр</w:t>
      </w:r>
      <w:proofErr w:type="spellEnd"/>
      <w:r>
        <w:t>» Фондом проведено 359 аукционов, по итогам которых заключено 349 договоров (349 аукционов состоялось) на ремонт 605 конструктивных элементов многоквартирных домов на сумму 733</w:t>
      </w:r>
      <w:r>
        <w:t>700 тыс. рублей. Экономи</w:t>
      </w:r>
      <w:r>
        <w:t>я от проведения аукционов составила 14</w:t>
      </w:r>
      <w:r>
        <w:t>821 тыс. рублей, что составляет 2 % от объявленной суммы.</w:t>
      </w:r>
    </w:p>
    <w:p w:rsidR="0043634C" w:rsidRDefault="00D950C3">
      <w:pPr>
        <w:ind w:left="35" w:right="50"/>
      </w:pPr>
      <w:r>
        <w:rPr>
          <w:noProof/>
        </w:rPr>
        <w:drawing>
          <wp:inline distT="0" distB="0" distL="0" distR="0">
            <wp:extent cx="9144" cy="36576"/>
            <wp:effectExtent l="0" t="0" r="0" b="0"/>
            <wp:docPr id="14987" name="Picture 14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7" name="Picture 149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Разработкой проектно-сметной документации были заняты 4 организациями по 9 договорам на сумму 30</w:t>
      </w:r>
      <w:r>
        <w:t xml:space="preserve">436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43634C" w:rsidRDefault="00D950C3">
      <w:pPr>
        <w:ind w:left="35" w:right="50"/>
      </w:pPr>
      <w:r>
        <w:t xml:space="preserve">Строительный контроль осуществлялся 5 </w:t>
      </w:r>
      <w:r>
        <w:t>организациями по 7 договорам на сумму 7</w:t>
      </w:r>
      <w:r>
        <w:t>211 тыс. рублей.</w:t>
      </w:r>
    </w:p>
    <w:p w:rsidR="0043634C" w:rsidRDefault="00D950C3">
      <w:pPr>
        <w:ind w:left="35" w:right="50"/>
      </w:pPr>
      <w:r>
        <w:t xml:space="preserve">Строительно-монтажные работы выполнялись 37 организациями по 333 договорам на сумму </w:t>
      </w:r>
      <w:proofErr w:type="gramStart"/>
      <w:r>
        <w:t>696</w:t>
      </w:r>
      <w:r w:rsidR="00DD594F">
        <w:t>00</w:t>
      </w:r>
      <w:r w:rsidR="0011248E">
        <w:t>1</w:t>
      </w:r>
      <w:r>
        <w:t xml:space="preserve"> </w:t>
      </w:r>
      <w:r>
        <w:t xml:space="preserve"> тыс.</w:t>
      </w:r>
      <w:proofErr w:type="gramEnd"/>
      <w:r>
        <w:t xml:space="preserve"> рублей.</w:t>
      </w:r>
    </w:p>
    <w:p w:rsidR="0043634C" w:rsidRDefault="00D950C3">
      <w:pPr>
        <w:ind w:left="35" w:right="50" w:firstLine="770"/>
      </w:pPr>
      <w:r>
        <w:lastRenderedPageBreak/>
        <w:t xml:space="preserve">Рассматривая в разрезе видов работ (с учетом домов на специальных счетах) имеем, что в 2018 году капитальный ремонт: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24" name="Picture 4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" name="Picture 44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кровли выполнен в- </w:t>
      </w:r>
      <w:r>
        <w:t>163 МКД (РО);</w:t>
      </w:r>
    </w:p>
    <w:p w:rsidR="0043634C" w:rsidRDefault="00D950C3">
      <w:pPr>
        <w:ind w:left="35" w:right="50" w:firstLine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26" name="Picture 4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6" name="Picture 44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системы канализации и водоотведения - 103 МКД;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25" name="Picture 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" name="Picture 44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4C" w:rsidRDefault="00D950C3">
      <w:pPr>
        <w:numPr>
          <w:ilvl w:val="0"/>
          <w:numId w:val="1"/>
        </w:numPr>
        <w:ind w:right="50" w:hanging="166"/>
      </w:pPr>
      <w:r>
        <w:t>системы электроснабжения - 92 МКД;</w:t>
      </w:r>
    </w:p>
    <w:p w:rsidR="0043634C" w:rsidRDefault="00D950C3">
      <w:pPr>
        <w:numPr>
          <w:ilvl w:val="0"/>
          <w:numId w:val="1"/>
        </w:numPr>
        <w:ind w:right="50" w:hanging="166"/>
      </w:pPr>
      <w:r>
        <w:t>холодного водоснабжения - 89 МКД;</w:t>
      </w:r>
      <w:r>
        <w:rPr>
          <w:noProof/>
        </w:rPr>
        <w:drawing>
          <wp:inline distT="0" distB="0" distL="0" distR="0">
            <wp:extent cx="9144" cy="105156"/>
            <wp:effectExtent l="0" t="0" r="0" b="0"/>
            <wp:docPr id="14989" name="Picture 1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" name="Picture 149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4C" w:rsidRDefault="00D950C3">
      <w:pPr>
        <w:ind w:left="35" w:right="50" w:firstLine="0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отопления - 79 МКД;</w:t>
      </w:r>
      <w:r>
        <w:rPr>
          <w:noProof/>
        </w:rPr>
        <w:drawing>
          <wp:inline distT="0" distB="0" distL="0" distR="0">
            <wp:extent cx="9144" cy="27432"/>
            <wp:effectExtent l="0" t="0" r="0" b="0"/>
            <wp:docPr id="14991" name="Picture 14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1" name="Picture 149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4C" w:rsidRDefault="00D950C3">
      <w:pPr>
        <w:numPr>
          <w:ilvl w:val="0"/>
          <w:numId w:val="1"/>
        </w:numPr>
        <w:ind w:right="50" w:hanging="166"/>
      </w:pPr>
      <w:r>
        <w:t>системы горячего водоснабжения - 34 МКД;</w:t>
      </w:r>
    </w:p>
    <w:p w:rsidR="0043634C" w:rsidRDefault="00D950C3">
      <w:pPr>
        <w:ind w:left="31" w:right="14" w:hanging="10"/>
      </w:pPr>
      <w:r>
        <w:rPr>
          <w:noProof/>
        </w:rPr>
        <w:drawing>
          <wp:inline distT="0" distB="0" distL="0" distR="0">
            <wp:extent cx="13716" cy="36576"/>
            <wp:effectExtent l="0" t="0" r="0" b="0"/>
            <wp:docPr id="14993" name="Picture 14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3" name="Picture 149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- заменено 19 лифтов в 5 МКД;</w:t>
      </w:r>
    </w:p>
    <w:p w:rsidR="0043634C" w:rsidRDefault="00D950C3">
      <w:pPr>
        <w:numPr>
          <w:ilvl w:val="0"/>
          <w:numId w:val="1"/>
        </w:numPr>
        <w:ind w:right="50" w:hanging="166"/>
      </w:pPr>
      <w:r>
        <w:t>та</w:t>
      </w:r>
      <w:r w:rsidR="00DD594F">
        <w:t>кж</w:t>
      </w:r>
      <w:r>
        <w:t>е произведен капиталь</w:t>
      </w:r>
      <w:r>
        <w:t>ный ремонт системы газоснабжения — в 2-х МКД;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4C" w:rsidRDefault="00D950C3">
      <w:pPr>
        <w:numPr>
          <w:ilvl w:val="0"/>
          <w:numId w:val="1"/>
        </w:numPr>
        <w:ind w:right="50" w:hanging="166"/>
      </w:pPr>
      <w:r>
        <w:t>ремонт подвала в 3х МКД и фасада в 1 МКД (</w:t>
      </w:r>
      <w:proofErr w:type="spellStart"/>
      <w:r>
        <w:t>И.Яковлева</w:t>
      </w:r>
      <w:proofErr w:type="spellEnd"/>
      <w:r>
        <w:t>, 10 к. 1)</w:t>
      </w:r>
    </w:p>
    <w:p w:rsidR="0043634C" w:rsidRDefault="00D950C3">
      <w:pPr>
        <w:spacing w:after="49"/>
        <w:ind w:left="35" w:right="50"/>
      </w:pPr>
      <w:r>
        <w:t xml:space="preserve">Как и в прежние годы в 2018 году сделано ударение на капитальный ремонт кровли, систему канализации и водоотведения и электроснабжение. </w:t>
      </w:r>
    </w:p>
    <w:p w:rsidR="0043634C" w:rsidRDefault="00D950C3">
      <w:pPr>
        <w:spacing w:after="58"/>
        <w:ind w:left="35" w:right="50"/>
      </w:pPr>
      <w:r>
        <w:t xml:space="preserve">Учитывая, что многоквартирные дома в основном расположены в городах и на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4438" name="Picture 4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" name="Picture 44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пригородных территориях, и в данных населенных пунктах больше финансовых возможностей исходя из накопленных средств, «львиная» доля работ выполняется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именно в крупных муниципальных </w:t>
      </w:r>
      <w:r>
        <w:t xml:space="preserve">образованиях. Из общего объема выполняемого капитального ремонта общего имущества МКД основной объем приходится на г.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Чебоксары, Новочебоксарск, Чебоксарский район, а также на г. Алатырь, </w:t>
      </w:r>
      <w:r>
        <w:rPr>
          <w:noProof/>
        </w:rPr>
        <w:drawing>
          <wp:inline distT="0" distB="0" distL="0" distR="0">
            <wp:extent cx="13715" cy="9144"/>
            <wp:effectExtent l="0" t="0" r="0" b="0"/>
            <wp:docPr id="14997" name="Picture 14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7" name="Picture 1499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Вурнарский</w:t>
      </w:r>
      <w:proofErr w:type="spellEnd"/>
      <w:r>
        <w:t xml:space="preserve"> район и г. Шумерля.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4C" w:rsidRDefault="00D950C3">
      <w:pPr>
        <w:spacing w:after="402"/>
        <w:ind w:left="35" w:right="50"/>
      </w:pPr>
      <w:r>
        <w:t>Сроки исполнения работ, предусмотренные договорами, в основном выдержаны подрядными организациями. Ремонтные работы в 58 МКД вышли за оговоренные договорами сроки. В среднем просрочки были до 1 месяца. В отношение 18 подрядных организаций выставлены неусто</w:t>
      </w:r>
      <w:r>
        <w:t xml:space="preserve">йки в сумме 1,9 </w:t>
      </w:r>
      <w:proofErr w:type="spellStart"/>
      <w:r>
        <w:t>млн.руб</w:t>
      </w:r>
      <w:proofErr w:type="spellEnd"/>
      <w:r>
        <w:t>., оплата произведена 0,8 млн. рублей. По сравнению с прошлыми годами, периоды нарушения сроков исполнения договоров сократились.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4C" w:rsidRDefault="00DD594F">
      <w:pPr>
        <w:ind w:left="35" w:right="50" w:firstLine="7"/>
      </w:pPr>
      <w:r>
        <w:t xml:space="preserve">         Краткосрочный </w:t>
      </w:r>
      <w:r w:rsidR="00D950C3">
        <w:t>план на 2019 год (207</w:t>
      </w:r>
      <w:r w:rsidR="00416647">
        <w:t xml:space="preserve"> </w:t>
      </w:r>
      <w:r w:rsidR="00D950C3">
        <w:t xml:space="preserve">МКД, 405 видов </w:t>
      </w:r>
      <w:proofErr w:type="gramStart"/>
      <w:r w:rsidR="00D950C3">
        <w:t xml:space="preserve">на </w:t>
      </w:r>
      <w:r>
        <w:t xml:space="preserve"> </w:t>
      </w:r>
      <w:r w:rsidR="00D950C3">
        <w:t>782</w:t>
      </w:r>
      <w:proofErr w:type="gramEnd"/>
      <w:r w:rsidR="00D950C3">
        <w:t xml:space="preserve">,5 </w:t>
      </w:r>
      <w:proofErr w:type="spellStart"/>
      <w:r w:rsidR="00D950C3">
        <w:t>млн.р</w:t>
      </w:r>
      <w:proofErr w:type="spellEnd"/>
      <w:r w:rsidR="00D950C3">
        <w:t xml:space="preserve">.) </w:t>
      </w:r>
      <w:r w:rsidR="00D950C3">
        <w:rPr>
          <w:noProof/>
        </w:rPr>
        <w:drawing>
          <wp:inline distT="0" distB="0" distL="0" distR="0">
            <wp:extent cx="4572" cy="4573"/>
            <wp:effectExtent l="0" t="0" r="0" b="0"/>
            <wp:docPr id="4445" name="Picture 4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" name="Picture 44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0C3">
        <w:t>Выполнение программы кап</w:t>
      </w:r>
      <w:r w:rsidR="00D950C3">
        <w:t>итального ремонта общего имущества многоквартирных домов продолжается - плавно переходя от одного годового плана к другому. (неисполненные работы прошлых лет отсутствуют)</w:t>
      </w:r>
    </w:p>
    <w:p w:rsidR="0043634C" w:rsidRDefault="00D950C3">
      <w:pPr>
        <w:spacing w:after="30"/>
        <w:ind w:left="35" w:right="115"/>
      </w:pPr>
      <w:r>
        <w:t>В целях исполнения капитального ремонта общего имущества многоквартирных домов, предусмотренных краткосрочным планом на 2019 год, в втором полугодии прошлого года направлено уведомления собственникам помещений о предстоящем ремонте того или иного конструкт</w:t>
      </w:r>
      <w:r>
        <w:t>ивного элемента 207 домов, собраны протокольные решения собственников помещений с согласованными стоимостями и видами работ, проведено 8 аукционов на проектирование объектов капитального ремонта из 9 объявленных.</w:t>
      </w:r>
    </w:p>
    <w:p w:rsidR="0043634C" w:rsidRDefault="00D950C3">
      <w:pPr>
        <w:ind w:left="35" w:right="50"/>
      </w:pPr>
      <w:r>
        <w:t>По итогам заключены договора с 4 организаци</w:t>
      </w:r>
      <w:r>
        <w:t>ями на сумму 23</w:t>
      </w:r>
      <w:r>
        <w:t>760 тыс. руб.: АО «Чувашская энергосбытовая компания» (Гончаров А.Н.), ООО «</w:t>
      </w:r>
      <w:proofErr w:type="spellStart"/>
      <w:r>
        <w:t>ГорИСС</w:t>
      </w:r>
      <w:proofErr w:type="spellEnd"/>
      <w:r>
        <w:t xml:space="preserve">» </w:t>
      </w:r>
      <w:r>
        <w:rPr>
          <w:noProof/>
        </w:rPr>
        <w:drawing>
          <wp:inline distT="0" distB="0" distL="0" distR="0">
            <wp:extent cx="13715" cy="13716"/>
            <wp:effectExtent l="0" t="0" r="0" b="0"/>
            <wp:docPr id="15000" name="Picture 1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0" name="Picture 150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(Федоров Г.В.), 000 «ПСБ» (Михайлов В.П.), 000 «</w:t>
      </w:r>
      <w:proofErr w:type="spellStart"/>
      <w:r>
        <w:t>Честрой</w:t>
      </w:r>
      <w:proofErr w:type="spellEnd"/>
      <w:r>
        <w:t xml:space="preserve">» (Егоров Р.А.). Экономия от </w:t>
      </w:r>
      <w:r>
        <w:lastRenderedPageBreak/>
        <w:t>проведения аукционов по данному виду работы составила —2,29 млн. р</w:t>
      </w:r>
      <w:r>
        <w:t>уб. (эффективность - 8%). Сроки исполнения работ выходят 30.01.2019 г.</w:t>
      </w:r>
    </w:p>
    <w:p w:rsidR="0043634C" w:rsidRDefault="00D950C3">
      <w:pPr>
        <w:ind w:left="35" w:right="50"/>
      </w:pPr>
      <w:r>
        <w:t>Аукцион на проектирование 1 объекта культурного наследия объявлен повторно.</w:t>
      </w:r>
    </w:p>
    <w:p w:rsidR="0043634C" w:rsidRDefault="00D950C3">
      <w:pPr>
        <w:spacing w:after="1"/>
        <w:ind w:left="742" w:firstLine="0"/>
        <w:jc w:val="left"/>
      </w:pPr>
      <w:proofErr w:type="spellStart"/>
      <w:r>
        <w:rPr>
          <w:u w:val="single" w:color="000000"/>
        </w:rPr>
        <w:t>Справочно</w:t>
      </w:r>
      <w:proofErr w:type="spellEnd"/>
      <w:r>
        <w:rPr>
          <w:u w:val="single" w:color="000000"/>
        </w:rPr>
        <w:t>:</w:t>
      </w:r>
    </w:p>
    <w:p w:rsidR="0043634C" w:rsidRDefault="00D950C3">
      <w:pPr>
        <w:spacing w:after="343"/>
        <w:ind w:left="35" w:right="50"/>
      </w:pPr>
      <w:r>
        <w:t xml:space="preserve">Аукцион на проектирование объекта культурного наследия по адресу г. Чебоксары, ул. К. Маркса, </w:t>
      </w:r>
      <w:proofErr w:type="spellStart"/>
      <w:r>
        <w:t>д.ЗЗ</w:t>
      </w:r>
      <w:proofErr w:type="spellEnd"/>
      <w:r>
        <w:t xml:space="preserve"> (1940 г. постройки) по ремонту внутридомовых инженерных систем по 5 видам работ на сумму разработки проекта с получением экспертизы на сумму 483 тыс. рублей не состоялся по причине отсутствия претендентов и объявлен повторно. Объектная стоимость составляе</w:t>
      </w:r>
      <w:r>
        <w:t>т 5,256 млн. рублей.</w:t>
      </w:r>
    </w:p>
    <w:p w:rsidR="0043634C" w:rsidRDefault="00D950C3">
      <w:pPr>
        <w:ind w:left="35" w:right="50"/>
      </w:pPr>
      <w:r>
        <w:t xml:space="preserve">С учетом действующего законодательства с 2019 года и полноты работ по составу, проектные стоимости по некоторым объектам (179 видов из 499 (36%))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913" name="Picture 6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3" name="Picture 69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превышают программные и действующие предельные стоимости работ. В связи с чем, готовим п</w:t>
      </w:r>
      <w:r>
        <w:t>редложение по пересмотру действующих предельных стоимостей и уточнению объектных стоимостей на 2019 год.</w:t>
      </w:r>
    </w:p>
    <w:p w:rsidR="0043634C" w:rsidRDefault="00D950C3">
      <w:pPr>
        <w:ind w:left="35" w:right="50"/>
      </w:pPr>
      <w:r>
        <w:t>В целом по реализации 5 краткосрочных планов Региональным оператором отремонтировано 1 417 МКД, где выполнено 2343 вида работы на сумму 2 млрд</w:t>
      </w:r>
      <w:r>
        <w:t xml:space="preserve">. 442 млн. 8 тыс. рублей, из которых 8,8% приходится на финансовую поддержку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914" name="Picture 6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4" name="Picture 69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бюджетов разных уровней, а 2 млрд. 227 млн. рублей это средства самих собственников помещений, внесенных в виде взносов на капитальный ремонт общего имущества многоквартирных дом</w:t>
      </w:r>
      <w:r>
        <w:t xml:space="preserve">ов. За 5 лет выполнен ремонт: </w:t>
      </w:r>
      <w:r>
        <w:rPr>
          <w:noProof/>
        </w:rPr>
        <w:drawing>
          <wp:inline distT="0" distB="0" distL="0" distR="0">
            <wp:extent cx="50292" cy="13716"/>
            <wp:effectExtent l="0" t="0" r="0" b="0"/>
            <wp:docPr id="6915" name="Picture 6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5" name="Picture 69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кровли в - 499 МКД;</w:t>
      </w:r>
    </w:p>
    <w:p w:rsidR="0043634C" w:rsidRDefault="00D950C3">
      <w:pPr>
        <w:numPr>
          <w:ilvl w:val="0"/>
          <w:numId w:val="2"/>
        </w:numPr>
        <w:ind w:right="50" w:hanging="166"/>
      </w:pPr>
      <w:r>
        <w:t>системы электроснабжения - 575 МКД;</w:t>
      </w:r>
    </w:p>
    <w:p w:rsidR="0043634C" w:rsidRDefault="00D950C3">
      <w:pPr>
        <w:numPr>
          <w:ilvl w:val="0"/>
          <w:numId w:val="2"/>
        </w:numPr>
        <w:ind w:right="50" w:hanging="166"/>
      </w:pPr>
      <w:r>
        <w:t>холодного водоснабжения - 369 МКД•</w:t>
      </w:r>
    </w:p>
    <w:p w:rsidR="0043634C" w:rsidRDefault="00D950C3">
      <w:pPr>
        <w:numPr>
          <w:ilvl w:val="0"/>
          <w:numId w:val="2"/>
        </w:numPr>
        <w:ind w:right="50" w:hanging="166"/>
      </w:pPr>
      <w:r>
        <w:rPr>
          <w:sz w:val="30"/>
        </w:rPr>
        <w:t>система канализации и водоотведения - 436 МКД;</w:t>
      </w:r>
    </w:p>
    <w:p w:rsidR="0043634C" w:rsidRDefault="00D950C3">
      <w:pPr>
        <w:numPr>
          <w:ilvl w:val="0"/>
          <w:numId w:val="2"/>
        </w:numPr>
        <w:ind w:right="50" w:hanging="166"/>
      </w:pPr>
      <w:r>
        <w:t xml:space="preserve">отопления - 206 МКД; </w:t>
      </w:r>
      <w:r>
        <w:rPr>
          <w:noProof/>
        </w:rPr>
        <w:drawing>
          <wp:inline distT="0" distB="0" distL="0" distR="0">
            <wp:extent cx="50292" cy="22860"/>
            <wp:effectExtent l="0" t="0" r="0" b="0"/>
            <wp:docPr id="6916" name="Picture 6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6" name="Picture 69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горячего водоснабжения - 138 МКД;</w:t>
      </w:r>
    </w:p>
    <w:p w:rsidR="0043634C" w:rsidRDefault="00D950C3">
      <w:pPr>
        <w:numPr>
          <w:ilvl w:val="0"/>
          <w:numId w:val="2"/>
        </w:numPr>
        <w:ind w:right="50" w:hanging="166"/>
      </w:pPr>
      <w:r>
        <w:rPr>
          <w:sz w:val="30"/>
        </w:rPr>
        <w:t>заменено 177 лифтов в 49 МКД;</w:t>
      </w:r>
    </w:p>
    <w:p w:rsidR="0043634C" w:rsidRDefault="00D950C3">
      <w:pPr>
        <w:numPr>
          <w:ilvl w:val="0"/>
          <w:numId w:val="2"/>
        </w:numPr>
        <w:ind w:right="50" w:hanging="166"/>
      </w:pPr>
      <w:r>
        <w:t>также произведен капитальный ремонт системы газоснабжения - 68 МКД; и т.д.</w:t>
      </w:r>
    </w:p>
    <w:p w:rsidR="0043634C" w:rsidRDefault="00D950C3">
      <w:pPr>
        <w:ind w:left="35" w:right="50"/>
      </w:pPr>
      <w:r>
        <w:t>Комфортность проживания за 5 лет улучшена 122</w:t>
      </w:r>
      <w:r>
        <w:t>500 человек или 56</w:t>
      </w:r>
      <w:r>
        <w:t>900 семей.</w:t>
      </w:r>
    </w:p>
    <w:p w:rsidR="0043634C" w:rsidRDefault="00D950C3">
      <w:pPr>
        <w:ind w:left="35" w:right="50"/>
      </w:pPr>
      <w:r>
        <w:t>При проектировании внедряются новые энергосберегающие технологии и оборудования с высоким сроком</w:t>
      </w:r>
      <w:r>
        <w:t xml:space="preserve"> службы.</w:t>
      </w:r>
    </w:p>
    <w:p w:rsidR="0043634C" w:rsidRDefault="00D950C3">
      <w:pPr>
        <w:ind w:right="50"/>
      </w:pPr>
      <w:r>
        <w:t xml:space="preserve">Говоря об исполнении </w:t>
      </w:r>
      <w:proofErr w:type="gramStart"/>
      <w:r>
        <w:t>капитального ремонта</w:t>
      </w:r>
      <w:proofErr w:type="gramEnd"/>
      <w:r>
        <w:t xml:space="preserve"> необходимо отметить сложившуюся положительную динамику сбора взносов на капитальный ремонт общего имущества МКД за последний год.</w:t>
      </w:r>
    </w:p>
    <w:p w:rsidR="0043634C" w:rsidRDefault="00D950C3">
      <w:pPr>
        <w:ind w:left="108" w:right="50"/>
      </w:pPr>
      <w:r>
        <w:t xml:space="preserve">Сбор за 2018 год составил 910 млн. руб. против начисленной 897,19 млн. рублей (101,4 </w:t>
      </w:r>
      <w:r>
        <w:rPr>
          <w:vertAlign w:val="superscript"/>
        </w:rPr>
        <w:t>0</w:t>
      </w:r>
      <w:r>
        <w:t>/0), хотя процент сбора с нарастающим остается на уровне 85%. (Начислено— З 230,5 млн. руб., со</w:t>
      </w:r>
      <w:r w:rsidR="00416647">
        <w:t>бр</w:t>
      </w:r>
      <w:r>
        <w:t xml:space="preserve">ано— 2 740, млн. руб., разница 490,4 млн. руб.) Лучшими по оплате взносов </w:t>
      </w:r>
      <w:r>
        <w:t xml:space="preserve">на капитальный ремонт являются собственники помещений многоквартирных домов Порецкого района, г. Канаш, Новочебоксарск, Чебоксары, </w:t>
      </w:r>
      <w:proofErr w:type="spellStart"/>
      <w:r>
        <w:t>Аликовского</w:t>
      </w:r>
      <w:proofErr w:type="spellEnd"/>
      <w:r>
        <w:t xml:space="preserve"> района.</w:t>
      </w:r>
    </w:p>
    <w:p w:rsidR="0043634C" w:rsidRDefault="00D950C3">
      <w:pPr>
        <w:ind w:left="122" w:right="50"/>
      </w:pPr>
      <w:r>
        <w:lastRenderedPageBreak/>
        <w:t xml:space="preserve">Худшими остаются: </w:t>
      </w:r>
      <w:proofErr w:type="spellStart"/>
      <w:r>
        <w:t>Алатырьский</w:t>
      </w:r>
      <w:proofErr w:type="spellEnd"/>
      <w:r>
        <w:t xml:space="preserve">, Комсомольский, </w:t>
      </w:r>
      <w:proofErr w:type="spellStart"/>
      <w:r>
        <w:t>Шумерлинский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Бытыревский</w:t>
      </w:r>
      <w:proofErr w:type="spellEnd"/>
      <w:r>
        <w:t xml:space="preserve">, </w:t>
      </w:r>
      <w:proofErr w:type="spellStart"/>
      <w:r>
        <w:t>Цивильский</w:t>
      </w:r>
      <w:proofErr w:type="spellEnd"/>
      <w:r>
        <w:t xml:space="preserve"> районы.</w:t>
      </w:r>
    </w:p>
    <w:p w:rsidR="0043634C" w:rsidRDefault="00D950C3">
      <w:pPr>
        <w:ind w:left="108" w:right="50"/>
      </w:pPr>
      <w:r>
        <w:t>Из всего объ</w:t>
      </w:r>
      <w:r>
        <w:t>ема начисления (с нарастающим) 7% приходится на муниципальные помещения. Сбор по муниципальным помещениям на начало текущего года в целом составляет 89% (оплачено 218,6 против начисленной 245,5 млн. рублей).</w:t>
      </w:r>
    </w:p>
    <w:p w:rsidR="0043634C" w:rsidRDefault="00D950C3">
      <w:pPr>
        <w:ind w:left="122" w:right="50"/>
      </w:pPr>
      <w:proofErr w:type="gramStart"/>
      <w:r>
        <w:t>Муниципальные образования</w:t>
      </w:r>
      <w:proofErr w:type="gramEnd"/>
      <w:r>
        <w:t xml:space="preserve"> по которым имеется осн</w:t>
      </w:r>
      <w:r>
        <w:t xml:space="preserve">овная задолженность: г. Шумерля, г. Алатырь, </w:t>
      </w:r>
      <w:proofErr w:type="spellStart"/>
      <w:r>
        <w:t>Ядринский</w:t>
      </w:r>
      <w:proofErr w:type="spellEnd"/>
      <w:r>
        <w:t xml:space="preserve">, </w:t>
      </w:r>
      <w:proofErr w:type="spellStart"/>
      <w:r>
        <w:t>Мар</w:t>
      </w:r>
      <w:r w:rsidR="00416647">
        <w:t>инско</w:t>
      </w:r>
      <w:proofErr w:type="spellEnd"/>
      <w:r>
        <w:t>-Посадский, Красноармейский, Козловский районы.</w:t>
      </w:r>
    </w:p>
    <w:p w:rsidR="0043634C" w:rsidRDefault="00D950C3">
      <w:pPr>
        <w:spacing w:after="752" w:line="221" w:lineRule="auto"/>
        <w:ind w:left="125" w:hanging="3"/>
      </w:pPr>
      <w:r>
        <w:rPr>
          <w:sz w:val="32"/>
        </w:rPr>
        <w:t>Основной целью РО является увеличение уровня комфортности и обеспечение безопасности пребывания в многоквартирных домах посредством выполнения капитального ремонта.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34C">
      <w:pgSz w:w="11902" w:h="16834"/>
      <w:pgMar w:top="1061" w:right="439" w:bottom="1097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2985"/>
    <w:multiLevelType w:val="hybridMultilevel"/>
    <w:tmpl w:val="0CA44958"/>
    <w:lvl w:ilvl="0" w:tplc="1B923AC4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C166C04">
      <w:start w:val="1"/>
      <w:numFmt w:val="bullet"/>
      <w:lvlText w:val="o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1C41FA4">
      <w:start w:val="1"/>
      <w:numFmt w:val="bullet"/>
      <w:lvlText w:val="▪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0FE2BAA">
      <w:start w:val="1"/>
      <w:numFmt w:val="bullet"/>
      <w:lvlText w:val="•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FC8F12">
      <w:start w:val="1"/>
      <w:numFmt w:val="bullet"/>
      <w:lvlText w:val="o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012189C">
      <w:start w:val="1"/>
      <w:numFmt w:val="bullet"/>
      <w:lvlText w:val="▪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C58DF6C">
      <w:start w:val="1"/>
      <w:numFmt w:val="bullet"/>
      <w:lvlText w:val="•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BFC2B00">
      <w:start w:val="1"/>
      <w:numFmt w:val="bullet"/>
      <w:lvlText w:val="o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2EA82BA">
      <w:start w:val="1"/>
      <w:numFmt w:val="bullet"/>
      <w:lvlText w:val="▪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55A59"/>
    <w:multiLevelType w:val="hybridMultilevel"/>
    <w:tmpl w:val="A154A270"/>
    <w:lvl w:ilvl="0" w:tplc="1C12586C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8C8F89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E840B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0C647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2A06B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005E7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3CCD5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E0392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A6E45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4C"/>
    <w:rsid w:val="0011248E"/>
    <w:rsid w:val="001C595E"/>
    <w:rsid w:val="00416647"/>
    <w:rsid w:val="0043634C"/>
    <w:rsid w:val="009377A2"/>
    <w:rsid w:val="00D950C3"/>
    <w:rsid w:val="00D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2B40"/>
  <w15:docId w15:val="{F7A0BE3A-B73D-49DC-8DCF-43BE272B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/>
      <w:ind w:left="101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5948-D67F-4F56-A351-B6215513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Устенко Ирина Геннадьевна</dc:creator>
  <cp:keywords/>
  <cp:lastModifiedBy>Устенко Ирина Геннадьевна</cp:lastModifiedBy>
  <cp:revision>2</cp:revision>
  <dcterms:created xsi:type="dcterms:W3CDTF">2019-01-31T11:34:00Z</dcterms:created>
  <dcterms:modified xsi:type="dcterms:W3CDTF">2019-01-31T11:34:00Z</dcterms:modified>
</cp:coreProperties>
</file>